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392"/>
      </w:tblGrid>
      <w:tr w:rsidR="00A030F2" w:rsidRPr="00A030F2" w:rsidTr="002B01F2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A030F2" w:rsidRPr="00A030F2" w:rsidRDefault="00A030F2" w:rsidP="00A030F2">
            <w:pPr>
              <w:tabs>
                <w:tab w:val="center" w:pos="3894"/>
                <w:tab w:val="right" w:pos="8214"/>
              </w:tabs>
              <w:suppressAutoHyphens/>
              <w:spacing w:after="200" w:line="276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A030F2" w:rsidRPr="00A030F2" w:rsidRDefault="00A030F2" w:rsidP="00A030F2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2B599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2B599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2B599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E61283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E61283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E61283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>INCLUDEPICTURE  "cid:image001.gif@01D4ACFF.D49A31A0" \* MERGEFORMATINET</w:instrText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2.5pt;visibility:visible">
                  <v:imagedata r:id="rId8" r:href="rId9"/>
                </v:shape>
              </w:pict>
            </w:r>
            <w:r w:rsidR="000978F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E61283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2B599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A030F2" w:rsidRPr="00A030F2" w:rsidTr="002B01F2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30F2" w:rsidRPr="00A030F2" w:rsidRDefault="00A030F2" w:rsidP="00A030F2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</w:p>
          <w:p w:rsidR="00A030F2" w:rsidRPr="00A030F2" w:rsidRDefault="00A030F2" w:rsidP="00A030F2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                      </w:t>
            </w:r>
            <w:r w:rsidR="002614AB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</w:t>
            </w: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</w:t>
            </w: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u w:val="single"/>
                <w:lang w:eastAsia="el-GR"/>
              </w:rPr>
              <w:t>ΔΙΑΚΗΡΥΞΗ</w:t>
            </w:r>
          </w:p>
          <w:p w:rsidR="00A030F2" w:rsidRPr="00A030F2" w:rsidRDefault="00A030F2" w:rsidP="007B5BF1">
            <w:pPr>
              <w:keepNext/>
              <w:widowControl w:val="0"/>
              <w:spacing w:after="0" w:line="360" w:lineRule="auto"/>
              <w:ind w:left="10" w:hanging="1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i/>
                <w:color w:val="00000A"/>
                <w:spacing w:val="40"/>
                <w:kern w:val="2"/>
                <w:lang w:eastAsia="el-GR"/>
              </w:rPr>
            </w:pP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Ανοικτού Ηλεκτρονικού Δημόσιου Διαγωνισμού </w:t>
            </w:r>
            <w:r w:rsidRPr="00A030F2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για την παροχή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>υπηρεσιών τεχνικής υποστήριξης, συντήρησης, επισκευής και παραμετροποίησης του  συνόλου του δικτυακού εξοπλισμού πληροφορικής (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switches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routers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hotspots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>, κ.α.) της Βουλής των Ελλήνων, καθώς και υπηρεσιών τεχνικής υποστήριξης και βελτιστοποίησης της λειτουργίας του συνόλου του δικτυακού εξοπλισμού πληροφορικής, για χρονικό διάστημα ενός (1) έτους</w:t>
            </w:r>
          </w:p>
        </w:tc>
      </w:tr>
      <w:tr w:rsidR="00A030F2" w:rsidRPr="00A030F2" w:rsidTr="002B01F2">
        <w:trPr>
          <w:cantSplit/>
          <w:trHeight w:val="94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A030F2" w:rsidRPr="007B5BF1" w:rsidRDefault="00A030F2" w:rsidP="00A030F2">
            <w:pPr>
              <w:keepNext/>
              <w:tabs>
                <w:tab w:val="left" w:pos="432"/>
                <w:tab w:val="left" w:pos="1566"/>
              </w:tabs>
              <w:suppressAutoHyphens/>
              <w:spacing w:after="200" w:line="276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val="en-US" w:eastAsia="ar-SA"/>
              </w:rPr>
              <w:t>CPV</w:t>
            </w:r>
            <w:r w:rsidRPr="007B5BF1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(32412110-8/004)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 xml:space="preserve">Υπηρεσίες τεχνικής υποστήριξης σε θέματα δικτύου, </w:t>
            </w: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val="en-US" w:eastAsia="zh-CN"/>
              </w:rPr>
              <w:t>WEB</w:t>
            </w: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, ιστοσελίδων</w:t>
            </w:r>
          </w:p>
        </w:tc>
      </w:tr>
      <w:tr w:rsidR="00A030F2" w:rsidRPr="00A030F2" w:rsidTr="002B01F2">
        <w:trPr>
          <w:cantSplit/>
          <w:trHeight w:hRule="exact" w:val="1444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keepNext/>
              <w:tabs>
                <w:tab w:val="left" w:pos="0"/>
                <w:tab w:val="left" w:pos="1134"/>
              </w:tabs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bCs/>
                <w:iCs/>
                <w:color w:val="00000A"/>
                <w:kern w:val="1"/>
                <w:lang w:eastAsia="ar-SA"/>
              </w:rPr>
              <w:t>ΕΚΤΙΜΩΜΕΝΗ ΑΞΙΑ ΣΥΜΒΑΣΗΣ: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A030F2" w:rsidRPr="007B5BF1" w:rsidRDefault="00A030F2" w:rsidP="00A030F2">
            <w:pPr>
              <w:overflowPunct w:val="0"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kern w:val="1"/>
                <w:shd w:val="clear" w:color="auto" w:fill="FFFFFF"/>
                <w:lang w:eastAsia="zh-CN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Cs/>
                <w:color w:val="FF0000"/>
                <w:kern w:val="1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ογδόντα χιλιάδες ευρώ (80.000,00 €), πλέον ΦΠΑ 24%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kern w:val="1"/>
                <w:lang w:eastAsia="zh-CN"/>
              </w:rPr>
            </w:pPr>
          </w:p>
        </w:tc>
      </w:tr>
      <w:tr w:rsidR="00A030F2" w:rsidRPr="00A030F2" w:rsidTr="00B32CA2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A030F2" w:rsidRPr="007B5BF1" w:rsidRDefault="00FB7975" w:rsidP="00FB7975">
            <w:pPr>
              <w:suppressAutoHyphens/>
              <w:spacing w:after="200" w:line="276" w:lineRule="auto"/>
              <w:ind w:firstLine="397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1"/>
                <w:highlight w:val="yellow"/>
                <w:lang w:eastAsia="zh-CN"/>
              </w:rPr>
            </w:pPr>
            <w:r w:rsidRPr="00FB7975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2803/2023/01.03.2023  (ΑΔΑ: 05-0887)</w:t>
            </w:r>
          </w:p>
        </w:tc>
      </w:tr>
      <w:tr w:rsidR="00A030F2" w:rsidRPr="00A030F2" w:rsidTr="002B01F2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 xml:space="preserve">ΑΘΗΝΑ, </w:t>
            </w:r>
            <w:r w:rsidR="00277C4C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01/03/2023</w:t>
            </w:r>
            <w:bookmarkStart w:id="0" w:name="_GoBack"/>
            <w:bookmarkEnd w:id="0"/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6"/>
                <w:szCs w:val="36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sz w:val="36"/>
                <w:szCs w:val="36"/>
                <w:lang w:eastAsia="ar-SA"/>
              </w:rPr>
              <w:t>ΠΑΡΑΡΤΗΜΑ ΙΙΙ</w:t>
            </w:r>
          </w:p>
        </w:tc>
      </w:tr>
    </w:tbl>
    <w:p w:rsidR="00A030F2" w:rsidRPr="00A030F2" w:rsidRDefault="00A030F2" w:rsidP="00A030F2">
      <w:pPr>
        <w:jc w:val="both"/>
        <w:rPr>
          <w:rFonts w:ascii="Calibri" w:eastAsia="Calibri" w:hAnsi="Calibri" w:cs="Calibri"/>
          <w:color w:val="000000"/>
          <w:lang w:eastAsia="el-GR"/>
        </w:rPr>
      </w:pPr>
    </w:p>
    <w:p w:rsidR="00356E9E" w:rsidRPr="00356E9E" w:rsidRDefault="00356E9E" w:rsidP="00356E9E"/>
    <w:p w:rsidR="00356E9E" w:rsidRDefault="00356E9E" w:rsidP="00356E9E"/>
    <w:p w:rsidR="00DA2C70" w:rsidRDefault="00DA2C70" w:rsidP="00356E9E"/>
    <w:p w:rsidR="00DA2C70" w:rsidRPr="00356E9E" w:rsidRDefault="00DA2C70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DC1CEB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Pr="00356E9E" w:rsidRDefault="00F73EDF" w:rsidP="00F73EDF">
      <w:pPr>
        <w:ind w:left="-851" w:right="26" w:hanging="142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Pr="00356E9E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D54080" w:rsidRDefault="000978FE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11159065"/>
      <w:r>
        <w:rPr>
          <w:noProof/>
        </w:rPr>
        <w:lastRenderedPageBreak/>
        <w:object w:dxaOrig="1440" w:dyaOrig="1440">
          <v:shape id="_x0000_s1026" type="#_x0000_t75" style="position:absolute;left:0;text-align:left;margin-left:183.8pt;margin-top:19.6pt;width:77.75pt;height:47.5pt;z-index:-251658752">
            <v:imagedata r:id="rId10" o:title=""/>
            <w10:wrap side="left"/>
          </v:shape>
          <o:OLEObject Type="Embed" ProgID="PBrush" ShapeID="_x0000_s1026" DrawAspect="Content" ObjectID="_1739353693" r:id="rId11"/>
        </w:objec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r w:rsidR="00D54080" w:rsidRPr="00D54080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56E9E" w:rsidP="00F73EDF">
      <w:pPr>
        <w:tabs>
          <w:tab w:val="center" w:pos="4153"/>
        </w:tabs>
        <w:suppressAutoHyphens/>
        <w:spacing w:after="0" w:line="360" w:lineRule="auto"/>
        <w:jc w:val="both"/>
      </w:pPr>
      <w:bookmarkStart w:id="4" w:name="__RefHeading___Toc243_1659156176"/>
      <w:bookmarkEnd w:id="4"/>
      <w:r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1099" w:type="dxa"/>
        <w:tblInd w:w="-450" w:type="dxa"/>
        <w:tblLook w:val="04A0" w:firstRow="1" w:lastRow="0" w:firstColumn="1" w:lastColumn="0" w:noHBand="0" w:noVBand="1"/>
      </w:tblPr>
      <w:tblGrid>
        <w:gridCol w:w="450"/>
        <w:gridCol w:w="2218"/>
        <w:gridCol w:w="978"/>
        <w:gridCol w:w="1100"/>
        <w:gridCol w:w="395"/>
        <w:gridCol w:w="990"/>
        <w:gridCol w:w="497"/>
        <w:gridCol w:w="2372"/>
        <w:gridCol w:w="246"/>
        <w:gridCol w:w="564"/>
        <w:gridCol w:w="480"/>
        <w:gridCol w:w="809"/>
      </w:tblGrid>
      <w:tr w:rsidR="00DA2C70" w:rsidRPr="00356E9E" w:rsidTr="00A030F2">
        <w:trPr>
          <w:gridBefore w:val="1"/>
          <w:wBefore w:w="450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DA2C70" w:rsidRPr="00B21B37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="00B21B37">
              <w:rPr>
                <w:rFonts w:eastAsia="Times New Roman" w:cs="Arial"/>
                <w:sz w:val="24"/>
                <w:szCs w:val="24"/>
                <w:lang w:val="en-US" w:eastAsia="el-GR"/>
              </w:rPr>
              <w:t xml:space="preserve">. </w:t>
            </w:r>
            <w:proofErr w:type="gramStart"/>
            <w:r w:rsidR="00B21B37">
              <w:rPr>
                <w:rFonts w:eastAsia="Times New Roman" w:cs="Arial"/>
                <w:sz w:val="24"/>
                <w:szCs w:val="24"/>
                <w:lang w:val="en-US" w:eastAsia="el-GR"/>
              </w:rPr>
              <w:t>……………………..………….</w:t>
            </w:r>
            <w:proofErr w:type="gram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email…….………………..…….</w:t>
            </w:r>
          </w:p>
        </w:tc>
      </w:tr>
      <w:tr w:rsidR="00DA2C70" w:rsidRPr="00B21B37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169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70" w:rsidRPr="00B21B37" w:rsidRDefault="00DA2C70" w:rsidP="00CC4BCA">
            <w:pPr>
              <w:spacing w:after="0" w:line="240" w:lineRule="auto"/>
              <w:ind w:right="532"/>
              <w:jc w:val="both"/>
              <w:rPr>
                <w:b/>
                <w:i/>
              </w:rPr>
            </w:pPr>
            <w:r w:rsidRPr="00A030F2">
              <w:rPr>
                <w:rFonts w:eastAsia="Times New Roman" w:cs="Arial"/>
                <w:lang w:eastAsia="el-GR"/>
              </w:rPr>
              <w:t xml:space="preserve">Αφού έλαβα γνώση της υπ' </w:t>
            </w:r>
            <w:proofErr w:type="spellStart"/>
            <w:r w:rsidRPr="00A030F2">
              <w:rPr>
                <w:rFonts w:eastAsia="Times New Roman" w:cs="Arial"/>
                <w:lang w:eastAsia="el-GR"/>
              </w:rPr>
              <w:t>αριθμ</w:t>
            </w:r>
            <w:proofErr w:type="spellEnd"/>
            <w:r w:rsidRPr="00A030F2">
              <w:rPr>
                <w:rFonts w:eastAsia="Times New Roman" w:cs="Arial"/>
                <w:lang w:eastAsia="el-GR"/>
              </w:rPr>
              <w:t xml:space="preserve">. </w:t>
            </w:r>
            <w:r w:rsidR="00CC4BCA" w:rsidRPr="00CC4BCA">
              <w:rPr>
                <w:rFonts w:ascii="Calibri" w:eastAsia="Calibri" w:hAnsi="Calibri" w:cs="Times New Roman"/>
                <w:b/>
              </w:rPr>
              <w:t>2803/2023/01.03.2023  (ΑΔΑ</w:t>
            </w:r>
            <w:r w:rsidR="00CC4BCA" w:rsidRPr="00CC4BCA">
              <w:rPr>
                <w:rFonts w:ascii="Calibri" w:eastAsia="Calibri" w:hAnsi="Calibri" w:cs="Times New Roman"/>
                <w:b/>
                <w:lang w:eastAsia="ar-SA"/>
              </w:rPr>
              <w:t>: 05-0887)</w:t>
            </w:r>
            <w:r w:rsidR="00551F42">
              <w:rPr>
                <w:b/>
                <w:i/>
                <w:lang w:eastAsia="ar-SA"/>
              </w:rPr>
              <w:t xml:space="preserve"> </w:t>
            </w:r>
            <w:r w:rsidRPr="00A030F2">
              <w:rPr>
                <w:rFonts w:eastAsia="Times New Roman" w:cs="Arial"/>
                <w:lang w:eastAsia="el-GR"/>
              </w:rPr>
              <w:t xml:space="preserve">απόφασης της Βουλής των Ελλήνων και της συνημμένης Διακήρυξης με τα Παραρτήματά της, </w:t>
            </w:r>
            <w:r w:rsidRPr="00A030F2">
              <w:rPr>
                <w:rFonts w:eastAsia="Times New Roman" w:cs="Arial"/>
                <w:i/>
                <w:lang w:eastAsia="el-GR"/>
              </w:rPr>
              <w:t xml:space="preserve">που αποτελούν αναπόσπαστο μέρος αυτής, </w:t>
            </w:r>
            <w:r w:rsidRPr="00A030F2">
              <w:rPr>
                <w:rFonts w:eastAsia="Times New Roman" w:cs="Arial"/>
                <w:lang w:eastAsia="el-GR"/>
              </w:rPr>
              <w:t xml:space="preserve">για τον Δημόσιο Διαγωνισμό που αφορά </w:t>
            </w:r>
            <w:r w:rsidR="00BA0CDA" w:rsidRPr="00B21B37">
              <w:rPr>
                <w:b/>
              </w:rPr>
              <w:t xml:space="preserve">στην </w:t>
            </w:r>
            <w:r w:rsidR="00B21B37" w:rsidRPr="00B21B37">
              <w:rPr>
                <w:b/>
              </w:rPr>
              <w:t>παροχή υπηρεσιών τεχνικής υποστήριξης, συντήρησης, επισκευής και παραμετροποίησης του  συνόλου του δικτυακού εξοπλισμού πληροφορικής (</w:t>
            </w:r>
            <w:r w:rsidR="00B21B37" w:rsidRPr="00B21B37">
              <w:rPr>
                <w:b/>
                <w:lang w:val="en-GB"/>
              </w:rPr>
              <w:t>switches</w:t>
            </w:r>
            <w:r w:rsidR="00B21B37" w:rsidRPr="00B21B37">
              <w:rPr>
                <w:b/>
              </w:rPr>
              <w:t xml:space="preserve">, </w:t>
            </w:r>
            <w:r w:rsidR="00B21B37" w:rsidRPr="00B21B37">
              <w:rPr>
                <w:b/>
                <w:lang w:val="en-GB"/>
              </w:rPr>
              <w:t>routers</w:t>
            </w:r>
            <w:r w:rsidR="00B21B37" w:rsidRPr="00B21B37">
              <w:rPr>
                <w:b/>
              </w:rPr>
              <w:t xml:space="preserve">, </w:t>
            </w:r>
            <w:r w:rsidR="00B21B37" w:rsidRPr="00B21B37">
              <w:rPr>
                <w:b/>
                <w:lang w:val="en-GB"/>
              </w:rPr>
              <w:t>hotspots</w:t>
            </w:r>
            <w:r w:rsidR="00B21B37" w:rsidRPr="00B21B37">
              <w:rPr>
                <w:b/>
              </w:rPr>
              <w:t>, κ.α.) της Βουλής των Ελλήνων, καθώς και υπηρεσιών τεχνικής υποστήριξης και βελτιστοποίησης της λειτουργίας του συνόλου του δικτυακού εξοπλισμού πληροφορικής, για χρονικό διάστημα ενός (1) έτους</w:t>
            </w:r>
            <w:r w:rsidR="00BA0CDA" w:rsidRPr="00B21B37">
              <w:rPr>
                <w:b/>
              </w:rPr>
              <w:t>, με κριτήριο κατακύρωσης την πλέον συμφέρουσα από οικονομική άποψη προσφορά με βάση μόνο την τιμή</w:t>
            </w:r>
            <w:r w:rsidRPr="00A030F2">
              <w:rPr>
                <w:rFonts w:cs="Arial"/>
                <w:b/>
                <w:bCs/>
                <w:i/>
              </w:rPr>
              <w:t>,</w:t>
            </w:r>
            <w:r w:rsidRPr="00A030F2">
              <w:rPr>
                <w:rFonts w:eastAsia="Times New Roman" w:cs="Arial"/>
                <w:lang w:eastAsia="el-GR"/>
              </w:rPr>
              <w:t xml:space="preserve"> τα οποία αποδέχομαι πλήρως και χωρίς επιφύλαξη, υ</w:t>
            </w:r>
            <w:r w:rsidR="00A030F2" w:rsidRPr="00A030F2">
              <w:rPr>
                <w:rFonts w:eastAsia="Times New Roman" w:cs="Arial"/>
                <w:lang w:eastAsia="el-GR"/>
              </w:rPr>
              <w:t xml:space="preserve">ποβάλλω την παρούσα προσφορά σύμφωνα με τον κατωτέρω </w:t>
            </w:r>
            <w:r w:rsidR="00A030F2" w:rsidRPr="00A030F2">
              <w:rPr>
                <w:rFonts w:eastAsia="Times New Roman" w:cs="Arial"/>
                <w:u w:val="single"/>
                <w:lang w:eastAsia="el-GR"/>
              </w:rPr>
              <w:t>συμπληρωμένο</w:t>
            </w:r>
            <w:r w:rsidR="00A030F2">
              <w:rPr>
                <w:rFonts w:eastAsia="Times New Roman" w:cs="Arial"/>
                <w:lang w:eastAsia="el-GR"/>
              </w:rPr>
              <w:t xml:space="preserve"> </w:t>
            </w:r>
            <w:r w:rsidR="00A030F2" w:rsidRPr="00A030F2">
              <w:rPr>
                <w:rFonts w:eastAsia="Times New Roman" w:cs="Arial"/>
                <w:lang w:eastAsia="el-GR"/>
              </w:rPr>
              <w:t>συνοπτικό πίνακα οικονομικής προσ</w:t>
            </w:r>
            <w:r w:rsidR="00F56D39">
              <w:rPr>
                <w:rFonts w:eastAsia="Times New Roman" w:cs="Arial"/>
                <w:lang w:eastAsia="el-GR"/>
              </w:rPr>
              <w:t xml:space="preserve">φοράς </w:t>
            </w:r>
            <w:r w:rsidRPr="00A030F2">
              <w:rPr>
                <w:rFonts w:eastAsia="Times New Roman" w:cs="Arial"/>
                <w:lang w:eastAsia="el-GR"/>
              </w:rPr>
              <w:t>και δηλώνω ότι αναλαμβάνω την εκτέλεση του αντικειμένου της Σύμβασης έναντι του κατ' αποκοπή τιμήματος</w:t>
            </w:r>
            <w:r w:rsidR="00F56D39">
              <w:rPr>
                <w:rFonts w:eastAsia="Times New Roman" w:cs="Arial"/>
                <w:lang w:eastAsia="el-GR"/>
              </w:rPr>
              <w:t xml:space="preserve"> (άθροισμα πινάκων Α, Β, Γ και  Δ</w:t>
            </w:r>
            <w:r w:rsidR="00F56D39" w:rsidRPr="00A030F2">
              <w:rPr>
                <w:rFonts w:eastAsia="Times New Roman" w:cs="Arial"/>
                <w:lang w:eastAsia="el-GR"/>
              </w:rPr>
              <w:t>)</w:t>
            </w:r>
            <w:r w:rsidRPr="00A030F2">
              <w:rPr>
                <w:rFonts w:eastAsia="Times New Roman" w:cs="Arial"/>
                <w:lang w:eastAsia="el-GR"/>
              </w:rPr>
              <w:t xml:space="preserve"> των: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Pr="000704B1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A030F2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Pr="00BA0CDA" w:rsidRDefault="00A030F2" w:rsidP="00A030F2">
            <w:pPr>
              <w:spacing w:after="0" w:line="276" w:lineRule="auto"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 xml:space="preserve">Αθήνα   ……  /  ……  / 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202</w:t>
            </w:r>
            <w:r w:rsidR="00F95A77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3</w:t>
            </w:r>
          </w:p>
          <w:p w:rsidR="00A030F2" w:rsidRDefault="00A030F2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Ο προσφέρων</w:t>
            </w:r>
          </w:p>
          <w:p w:rsidR="00F56D39" w:rsidRDefault="00F56D39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F56D39" w:rsidRDefault="00F56D39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ED3ED0" w:rsidRDefault="00ED3ED0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A030F2" w:rsidRPr="00356E9E" w:rsidRDefault="00A030F2" w:rsidP="00A030F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el-GR"/>
              </w:rPr>
            </w:pPr>
          </w:p>
          <w:p w:rsidR="00A030F2" w:rsidRPr="00356E9E" w:rsidRDefault="00A030F2" w:rsidP="00A030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</w:p>
          <w:p w:rsidR="00A030F2" w:rsidRPr="00356E9E" w:rsidRDefault="00A030F2" w:rsidP="00A030F2">
            <w:pPr>
              <w:jc w:val="center"/>
            </w:pPr>
            <w:r>
              <w:t>(υπογραφή – σφραγίδα εταιρ</w:t>
            </w:r>
            <w:r w:rsidRPr="00356E9E">
              <w:t>ίας)</w:t>
            </w: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Pr="00356E9E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A030F2" w:rsidRPr="00CA3997" w:rsidTr="00A030F2">
        <w:trPr>
          <w:gridAfter w:val="2"/>
          <w:wAfter w:w="1289" w:type="dxa"/>
          <w:trHeight w:val="647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ΣΥΝΟΠΤΙΚΟΣ ΠΙΝΑΚΑΣ ΟΙΚΟΝΟΜΙΚΗΣ ΠΡΟΣΦΟ</w:t>
            </w:r>
            <w:r w:rsidR="00F56D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ΡΑΣ  (ΑΘΡΟΙΣΜΑ ΠΙΝΑΚΩΝ  Α, Β, Γ και Δ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Υποστήριξη, Συντήρηση,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5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/>
        </w:rPr>
      </w:pPr>
    </w:p>
    <w:tbl>
      <w:tblPr>
        <w:tblW w:w="981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</w:tblGrid>
      <w:tr w:rsidR="00A030F2" w:rsidRPr="00CA3997" w:rsidTr="002B01F2">
        <w:trPr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Πίνακας Α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υποστήριξη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24x7 εντός 2 ωρών:</w:t>
            </w:r>
            <w:r w:rsidRPr="00CB617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 του Παραρτήματος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 Υποστήριξη,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81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</w:tblGrid>
      <w:tr w:rsidR="00A030F2" w:rsidRPr="00CA3997" w:rsidTr="002B01F2">
        <w:trPr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CB617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lastRenderedPageBreak/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Πίνακας Β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υποστήριξη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24x7 εντός 4 ωρών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: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του Παραρτήματος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Β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Υποστήριξη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  <w:gridCol w:w="90"/>
      </w:tblGrid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Γ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Οικονομικής Προσφοράς για υποστήριξη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7B5A64" w:rsidRPr="007B5A64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</w:t>
            </w:r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8x5xNBD (</w:t>
            </w:r>
            <w:proofErr w:type="spellStart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Next</w:t>
            </w:r>
            <w:proofErr w:type="spellEnd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 </w:t>
            </w:r>
            <w:proofErr w:type="spellStart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Business</w:t>
            </w:r>
            <w:proofErr w:type="spellEnd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 </w:t>
            </w:r>
            <w:proofErr w:type="spellStart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Day</w:t>
            </w:r>
            <w:proofErr w:type="spellEnd"/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)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: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του Παραρτήματος 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Γ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Υποστήριξη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Συντήρηση,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F56D3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lastRenderedPageBreak/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Δ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προαγορά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56D3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εκατό (100) ωρών</w:t>
            </w:r>
            <w:r w:rsidR="007B5A6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/έτος</w:t>
            </w:r>
            <w:r w:rsidR="00F56D3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F56D39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πιστοποιημένου 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μηχανικού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 Υποστήριξη,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F56D39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Εκατό (100) ώρες</w:t>
            </w:r>
            <w:r w:rsidR="007B5A6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/έτος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900"/>
      </w:tblGrid>
      <w:tr w:rsidR="00A030F2" w:rsidRPr="00CA3997" w:rsidTr="002B01F2">
        <w:trPr>
          <w:trHeight w:val="2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F81AC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u w:val="single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 Ε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Οικονομικής Προσφοράς για υποστήριξη τεχνικής υποστήριξης   ( Ad hoc )  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από πιστοποιημένο μηχανικό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σε μεσαίο επίπεδο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81ACF" w:rsidRPr="00F81AC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el-GR"/>
              </w:rPr>
              <w:t>Δευτέρα έως Παρασκευή,</w:t>
            </w:r>
            <w:r w:rsidR="00F81ACF" w:rsidRPr="00F81ACF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81ACF" w:rsidRPr="00F81AC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el-GR"/>
              </w:rPr>
              <w:t>πέραν του ωραρίου 08.00 μέχρι 17.00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Παροχή υπηρεσιών συντήρησης τεχνικής υποστήριξης   (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AD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HOC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)   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 xml:space="preserve">Κόστος  </w:t>
            </w: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Ανθρωπο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-ώρας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5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F56D39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Κόστος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Ανθρωπο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-ώρας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DA2C70" w:rsidRDefault="00DA2C70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p w:rsidR="00F81ACF" w:rsidRDefault="00F81ACF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900"/>
      </w:tblGrid>
      <w:tr w:rsidR="00F81ACF" w:rsidRPr="00CA3997" w:rsidTr="00D2421F">
        <w:trPr>
          <w:trHeight w:val="2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F81AC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u w:val="single"/>
                <w:lang w:eastAsia="el-GR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lastRenderedPageBreak/>
              <w:t>Πίνακας  ΣΤ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Οικονομικής Προσφοράς για υποστήριξη τεχνικής υποστήριξης   ( Ad hoc ) 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από πιστοποιημένο μηχανικό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σε μεσαίο επίπεδο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>σε ημέρα αργίας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 xml:space="preserve"> 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Παροχή υπηρεσιών συντήρησης τεχνικής υποστήριξης   (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AD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HOC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)   </w:t>
            </w:r>
          </w:p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 xml:space="preserve">Κόστος  </w:t>
            </w: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Ανθρωπο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-ώρας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81ACF" w:rsidRPr="00F56D39" w:rsidTr="00D2421F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5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F56D39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Κόστος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Ανθρωπο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-ώρας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F81ACF" w:rsidRDefault="00F81ACF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sectPr w:rsidR="00F81ACF" w:rsidSect="00F73EDF">
      <w:headerReference w:type="default" r:id="rId12"/>
      <w:footerReference w:type="default" r:id="rId13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FE" w:rsidRDefault="000978FE">
      <w:pPr>
        <w:spacing w:after="0" w:line="240" w:lineRule="auto"/>
      </w:pPr>
      <w:r>
        <w:separator/>
      </w:r>
    </w:p>
  </w:endnote>
  <w:endnote w:type="continuationSeparator" w:id="0">
    <w:p w:rsidR="000978FE" w:rsidRDefault="0009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7C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030F" w:rsidRDefault="000978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FE" w:rsidRDefault="000978FE">
      <w:pPr>
        <w:spacing w:after="0" w:line="240" w:lineRule="auto"/>
      </w:pPr>
      <w:r>
        <w:separator/>
      </w:r>
    </w:p>
  </w:footnote>
  <w:footnote w:type="continuationSeparator" w:id="0">
    <w:p w:rsidR="000978FE" w:rsidRDefault="0009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0978FE">
    <w:pPr>
      <w:pStyle w:val="a3"/>
    </w:pPr>
  </w:p>
  <w:p w:rsidR="0081030F" w:rsidRDefault="000978FE">
    <w:pPr>
      <w:pStyle w:val="a3"/>
    </w:pPr>
  </w:p>
  <w:p w:rsidR="0081030F" w:rsidRDefault="00097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328"/>
    <w:rsid w:val="000379F4"/>
    <w:rsid w:val="00040648"/>
    <w:rsid w:val="00041269"/>
    <w:rsid w:val="000412EA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3E4D"/>
    <w:rsid w:val="00084143"/>
    <w:rsid w:val="00085B1B"/>
    <w:rsid w:val="00087B7B"/>
    <w:rsid w:val="0009120C"/>
    <w:rsid w:val="000930DB"/>
    <w:rsid w:val="00096DF3"/>
    <w:rsid w:val="000978FE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68F1"/>
    <w:rsid w:val="000D7156"/>
    <w:rsid w:val="000E1D74"/>
    <w:rsid w:val="000E588F"/>
    <w:rsid w:val="000E72CD"/>
    <w:rsid w:val="000F0191"/>
    <w:rsid w:val="000F02C8"/>
    <w:rsid w:val="000F1050"/>
    <w:rsid w:val="000F46F3"/>
    <w:rsid w:val="000F46FD"/>
    <w:rsid w:val="000F648F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27FF0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E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973BD"/>
    <w:rsid w:val="001A0D79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C40FC"/>
    <w:rsid w:val="001D7CD1"/>
    <w:rsid w:val="001E0404"/>
    <w:rsid w:val="001E27E4"/>
    <w:rsid w:val="001E2B90"/>
    <w:rsid w:val="001E4DC5"/>
    <w:rsid w:val="001E72A3"/>
    <w:rsid w:val="001E7F3C"/>
    <w:rsid w:val="001F115F"/>
    <w:rsid w:val="001F1F93"/>
    <w:rsid w:val="001F34C7"/>
    <w:rsid w:val="00204F32"/>
    <w:rsid w:val="002076D2"/>
    <w:rsid w:val="0021043F"/>
    <w:rsid w:val="00212A0A"/>
    <w:rsid w:val="002137F7"/>
    <w:rsid w:val="00214397"/>
    <w:rsid w:val="002207D2"/>
    <w:rsid w:val="00222D1B"/>
    <w:rsid w:val="002239B7"/>
    <w:rsid w:val="00223E42"/>
    <w:rsid w:val="002269CE"/>
    <w:rsid w:val="00227EC8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14AB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C4C"/>
    <w:rsid w:val="00277F9E"/>
    <w:rsid w:val="0028185C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B5990"/>
    <w:rsid w:val="002C0650"/>
    <w:rsid w:val="002C39AF"/>
    <w:rsid w:val="002C4E8A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31D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4B8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0526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56FCB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09BA"/>
    <w:rsid w:val="004B563E"/>
    <w:rsid w:val="004B67B7"/>
    <w:rsid w:val="004C055D"/>
    <w:rsid w:val="004C0C2D"/>
    <w:rsid w:val="004D1B62"/>
    <w:rsid w:val="004D279F"/>
    <w:rsid w:val="004D54AE"/>
    <w:rsid w:val="004D59D7"/>
    <w:rsid w:val="004D6104"/>
    <w:rsid w:val="004E070D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25BAC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1F42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6679F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1E8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1802"/>
    <w:rsid w:val="005C372E"/>
    <w:rsid w:val="005C38F7"/>
    <w:rsid w:val="005C4CCF"/>
    <w:rsid w:val="005C6B07"/>
    <w:rsid w:val="005D2CDF"/>
    <w:rsid w:val="005D30DD"/>
    <w:rsid w:val="005D4257"/>
    <w:rsid w:val="005D6614"/>
    <w:rsid w:val="005E2E51"/>
    <w:rsid w:val="005E4F20"/>
    <w:rsid w:val="005F2EA6"/>
    <w:rsid w:val="005F5203"/>
    <w:rsid w:val="005F67E5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2868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1CE"/>
    <w:rsid w:val="0065742F"/>
    <w:rsid w:val="00657AC4"/>
    <w:rsid w:val="00657F7F"/>
    <w:rsid w:val="0066040E"/>
    <w:rsid w:val="00660689"/>
    <w:rsid w:val="00662F05"/>
    <w:rsid w:val="006632E5"/>
    <w:rsid w:val="00664429"/>
    <w:rsid w:val="006644C9"/>
    <w:rsid w:val="00665060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37E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805"/>
    <w:rsid w:val="006F5D34"/>
    <w:rsid w:val="00702147"/>
    <w:rsid w:val="0070248E"/>
    <w:rsid w:val="00704325"/>
    <w:rsid w:val="007048D2"/>
    <w:rsid w:val="00704EA0"/>
    <w:rsid w:val="00706DA6"/>
    <w:rsid w:val="0071041E"/>
    <w:rsid w:val="00711A7C"/>
    <w:rsid w:val="00711C09"/>
    <w:rsid w:val="00712645"/>
    <w:rsid w:val="00712BA8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1ABA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2D1C"/>
    <w:rsid w:val="007B3230"/>
    <w:rsid w:val="007B3337"/>
    <w:rsid w:val="007B5A64"/>
    <w:rsid w:val="007B5BF1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6132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5DC0"/>
    <w:rsid w:val="00866718"/>
    <w:rsid w:val="00866EE2"/>
    <w:rsid w:val="00870BE0"/>
    <w:rsid w:val="0087239F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47EA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0F2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54A9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93DD4"/>
    <w:rsid w:val="00AA0472"/>
    <w:rsid w:val="00AA0A83"/>
    <w:rsid w:val="00AA165C"/>
    <w:rsid w:val="00AA6686"/>
    <w:rsid w:val="00AA6A96"/>
    <w:rsid w:val="00AA6FE2"/>
    <w:rsid w:val="00AB0B3F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BE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7CD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1B37"/>
    <w:rsid w:val="00B22681"/>
    <w:rsid w:val="00B24774"/>
    <w:rsid w:val="00B24F6D"/>
    <w:rsid w:val="00B2550E"/>
    <w:rsid w:val="00B273D2"/>
    <w:rsid w:val="00B30785"/>
    <w:rsid w:val="00B30D94"/>
    <w:rsid w:val="00B32CA2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0CDA"/>
    <w:rsid w:val="00BA26DD"/>
    <w:rsid w:val="00BA346F"/>
    <w:rsid w:val="00BA6E5B"/>
    <w:rsid w:val="00BB23B7"/>
    <w:rsid w:val="00BB3761"/>
    <w:rsid w:val="00BB386D"/>
    <w:rsid w:val="00BB5046"/>
    <w:rsid w:val="00BB5598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6EF8"/>
    <w:rsid w:val="00BE7A9E"/>
    <w:rsid w:val="00BF2197"/>
    <w:rsid w:val="00BF3C22"/>
    <w:rsid w:val="00BF432A"/>
    <w:rsid w:val="00BF448D"/>
    <w:rsid w:val="00BF566A"/>
    <w:rsid w:val="00BF6494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6083F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063F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17C"/>
    <w:rsid w:val="00CB6614"/>
    <w:rsid w:val="00CB76C3"/>
    <w:rsid w:val="00CB77AE"/>
    <w:rsid w:val="00CB7FA7"/>
    <w:rsid w:val="00CC112E"/>
    <w:rsid w:val="00CC43C7"/>
    <w:rsid w:val="00CC4BCA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29B8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080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2C70"/>
    <w:rsid w:val="00DA3EAB"/>
    <w:rsid w:val="00DA5AD3"/>
    <w:rsid w:val="00DA6016"/>
    <w:rsid w:val="00DB0704"/>
    <w:rsid w:val="00DB24FE"/>
    <w:rsid w:val="00DB2860"/>
    <w:rsid w:val="00DB3040"/>
    <w:rsid w:val="00DB356C"/>
    <w:rsid w:val="00DC0880"/>
    <w:rsid w:val="00DC1CEB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4DE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5A8C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28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171A"/>
    <w:rsid w:val="00EC247A"/>
    <w:rsid w:val="00EC247D"/>
    <w:rsid w:val="00EC2B42"/>
    <w:rsid w:val="00EC489C"/>
    <w:rsid w:val="00ED284E"/>
    <w:rsid w:val="00ED2C04"/>
    <w:rsid w:val="00ED3ED0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38A8"/>
    <w:rsid w:val="00F46BFA"/>
    <w:rsid w:val="00F52EEE"/>
    <w:rsid w:val="00F54BE1"/>
    <w:rsid w:val="00F55E47"/>
    <w:rsid w:val="00F56396"/>
    <w:rsid w:val="00F56D39"/>
    <w:rsid w:val="00F659E4"/>
    <w:rsid w:val="00F66E03"/>
    <w:rsid w:val="00F72439"/>
    <w:rsid w:val="00F73EDF"/>
    <w:rsid w:val="00F7639C"/>
    <w:rsid w:val="00F77A18"/>
    <w:rsid w:val="00F81ACF"/>
    <w:rsid w:val="00F8449B"/>
    <w:rsid w:val="00F848E8"/>
    <w:rsid w:val="00F85753"/>
    <w:rsid w:val="00F85912"/>
    <w:rsid w:val="00F87254"/>
    <w:rsid w:val="00F950AA"/>
    <w:rsid w:val="00F95147"/>
    <w:rsid w:val="00F95A7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B7975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6168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6E2DC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table" w:customStyle="1" w:styleId="TableGrid">
    <w:name w:val="TableGrid"/>
    <w:rsid w:val="00CA063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CA063F"/>
    <w:pPr>
      <w:spacing w:after="100"/>
      <w:ind w:left="440"/>
    </w:pPr>
    <w:rPr>
      <w:rFonts w:eastAsiaTheme="minorEastAsia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B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5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5060"/>
    <w:pPr>
      <w:spacing w:after="3" w:line="362" w:lineRule="auto"/>
      <w:ind w:left="720" w:right="1270" w:hanging="10"/>
      <w:contextualSpacing/>
      <w:jc w:val="both"/>
    </w:pPr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9E81-6BFF-4358-9A29-17323059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66</cp:revision>
  <cp:lastPrinted>2022-12-19T08:21:00Z</cp:lastPrinted>
  <dcterms:created xsi:type="dcterms:W3CDTF">2019-07-30T08:18:00Z</dcterms:created>
  <dcterms:modified xsi:type="dcterms:W3CDTF">2023-03-03T11:02:00Z</dcterms:modified>
</cp:coreProperties>
</file>